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701" w:rsidRDefault="00BC31C1" w:rsidP="00BC31C1">
      <w:pPr>
        <w:pStyle w:val="Textoindependiente"/>
        <w:jc w:val="center"/>
        <w:rPr>
          <w:sz w:val="28"/>
          <w:szCs w:val="28"/>
        </w:rPr>
      </w:pPr>
      <w:r>
        <w:rPr>
          <w:sz w:val="28"/>
          <w:szCs w:val="28"/>
        </w:rPr>
        <w:t>FICHA TÉCNICA</w:t>
      </w:r>
    </w:p>
    <w:p w:rsidR="00BC31C1" w:rsidRDefault="00BC31C1" w:rsidP="00BC31C1">
      <w:pPr>
        <w:pStyle w:val="Textoindependiente"/>
        <w:jc w:val="center"/>
        <w:rPr>
          <w:sz w:val="28"/>
          <w:szCs w:val="28"/>
        </w:rPr>
      </w:pPr>
      <w:r>
        <w:rPr>
          <w:sz w:val="28"/>
          <w:szCs w:val="28"/>
        </w:rPr>
        <w:t>AGRIMINS INICIO</w:t>
      </w:r>
    </w:p>
    <w:p w:rsidR="00BC31C1" w:rsidRPr="00BC31C1" w:rsidRDefault="00BC31C1" w:rsidP="00BC31C1">
      <w:pPr>
        <w:pStyle w:val="Textoindependiente"/>
        <w:jc w:val="center"/>
        <w:rPr>
          <w:sz w:val="28"/>
          <w:szCs w:val="28"/>
        </w:rPr>
      </w:pPr>
      <w:bookmarkStart w:id="0" w:name="_GoBack"/>
      <w:bookmarkEnd w:id="0"/>
    </w:p>
    <w:p w:rsidR="00536701" w:rsidRDefault="00536701">
      <w:pPr>
        <w:pStyle w:val="Textoindependiente"/>
        <w:spacing w:before="1"/>
        <w:rPr>
          <w:rFonts w:ascii="Times New Roman"/>
          <w:sz w:val="21"/>
        </w:rPr>
      </w:pPr>
    </w:p>
    <w:p w:rsidR="00536701" w:rsidRDefault="00B76519">
      <w:pPr>
        <w:pStyle w:val="Ttulo1"/>
        <w:numPr>
          <w:ilvl w:val="0"/>
          <w:numId w:val="1"/>
        </w:numPr>
        <w:tabs>
          <w:tab w:val="left" w:pos="581"/>
        </w:tabs>
        <w:ind w:hanging="309"/>
      </w:pPr>
      <w:r>
        <w:rPr>
          <w:u w:val="thick"/>
        </w:rPr>
        <w:t>DESCRIPCIÓN DEL</w:t>
      </w:r>
      <w:r>
        <w:rPr>
          <w:spacing w:val="-5"/>
          <w:u w:val="thick"/>
        </w:rPr>
        <w:t xml:space="preserve"> </w:t>
      </w:r>
      <w:r>
        <w:rPr>
          <w:u w:val="thick"/>
        </w:rPr>
        <w:t>PRODUCTO</w:t>
      </w:r>
      <w:r>
        <w:t>:</w:t>
      </w:r>
    </w:p>
    <w:p w:rsidR="00536701" w:rsidRDefault="00536701">
      <w:pPr>
        <w:pStyle w:val="Textoindependiente"/>
        <w:spacing w:before="2"/>
        <w:rPr>
          <w:b/>
          <w:sz w:val="28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3190"/>
        <w:gridCol w:w="5429"/>
      </w:tblGrid>
      <w:tr w:rsidR="00536701">
        <w:trPr>
          <w:trHeight w:val="338"/>
        </w:trPr>
        <w:tc>
          <w:tcPr>
            <w:tcW w:w="3190" w:type="dxa"/>
          </w:tcPr>
          <w:p w:rsidR="00536701" w:rsidRDefault="00B76519">
            <w:pPr>
              <w:pStyle w:val="TableParagraph"/>
              <w:spacing w:line="252" w:lineRule="exact"/>
              <w:ind w:left="200"/>
              <w:rPr>
                <w:b/>
              </w:rPr>
            </w:pPr>
            <w:r>
              <w:rPr>
                <w:b/>
              </w:rPr>
              <w:t>1.1 Nombre Comercial:</w:t>
            </w:r>
          </w:p>
        </w:tc>
        <w:tc>
          <w:tcPr>
            <w:tcW w:w="5429" w:type="dxa"/>
          </w:tcPr>
          <w:p w:rsidR="00536701" w:rsidRDefault="00B76519">
            <w:pPr>
              <w:pStyle w:val="TableParagraph"/>
              <w:spacing w:line="252" w:lineRule="exact"/>
              <w:ind w:left="128"/>
              <w:rPr>
                <w:b/>
              </w:rPr>
            </w:pPr>
            <w:r>
              <w:rPr>
                <w:b/>
              </w:rPr>
              <w:t xml:space="preserve">AGRIMINS </w:t>
            </w:r>
            <w:r>
              <w:rPr>
                <w:b/>
                <w:vertAlign w:val="superscript"/>
              </w:rPr>
              <w:t>®</w:t>
            </w:r>
            <w:r>
              <w:rPr>
                <w:b/>
              </w:rPr>
              <w:t xml:space="preserve"> INICIO 20-0-0</w:t>
            </w:r>
          </w:p>
        </w:tc>
      </w:tr>
      <w:tr w:rsidR="00536701">
        <w:trPr>
          <w:trHeight w:val="421"/>
        </w:trPr>
        <w:tc>
          <w:tcPr>
            <w:tcW w:w="3190" w:type="dxa"/>
          </w:tcPr>
          <w:p w:rsidR="00536701" w:rsidRDefault="00B76519">
            <w:pPr>
              <w:pStyle w:val="TableParagraph"/>
              <w:spacing w:before="80"/>
              <w:ind w:left="200"/>
              <w:rPr>
                <w:b/>
              </w:rPr>
            </w:pPr>
            <w:r>
              <w:rPr>
                <w:b/>
              </w:rPr>
              <w:t>1.2 Registro de Venta:</w:t>
            </w:r>
          </w:p>
        </w:tc>
        <w:tc>
          <w:tcPr>
            <w:tcW w:w="5429" w:type="dxa"/>
          </w:tcPr>
          <w:p w:rsidR="00536701" w:rsidRDefault="00B76519">
            <w:pPr>
              <w:pStyle w:val="TableParagraph"/>
              <w:spacing w:before="82"/>
              <w:ind w:left="128"/>
            </w:pPr>
            <w:r>
              <w:t>10367</w:t>
            </w:r>
          </w:p>
        </w:tc>
      </w:tr>
      <w:tr w:rsidR="00536701">
        <w:trPr>
          <w:trHeight w:val="405"/>
        </w:trPr>
        <w:tc>
          <w:tcPr>
            <w:tcW w:w="3190" w:type="dxa"/>
          </w:tcPr>
          <w:p w:rsidR="00536701" w:rsidRDefault="00B76519">
            <w:pPr>
              <w:pStyle w:val="TableParagraph"/>
              <w:spacing w:before="79"/>
              <w:ind w:left="1049"/>
              <w:rPr>
                <w:b/>
              </w:rPr>
            </w:pPr>
            <w:r>
              <w:rPr>
                <w:b/>
              </w:rPr>
              <w:t>- Colombia (ICA)</w:t>
            </w:r>
          </w:p>
        </w:tc>
        <w:tc>
          <w:tcPr>
            <w:tcW w:w="5429" w:type="dxa"/>
          </w:tcPr>
          <w:p w:rsidR="00536701" w:rsidRDefault="0053670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36701">
        <w:trPr>
          <w:trHeight w:val="407"/>
        </w:trPr>
        <w:tc>
          <w:tcPr>
            <w:tcW w:w="3190" w:type="dxa"/>
          </w:tcPr>
          <w:p w:rsidR="00536701" w:rsidRDefault="00B76519">
            <w:pPr>
              <w:pStyle w:val="TableParagraph"/>
              <w:spacing w:before="67"/>
              <w:ind w:left="200"/>
              <w:rPr>
                <w:b/>
              </w:rPr>
            </w:pPr>
            <w:r>
              <w:rPr>
                <w:b/>
              </w:rPr>
              <w:t>1.3 Clase de Producto:</w:t>
            </w:r>
          </w:p>
        </w:tc>
        <w:tc>
          <w:tcPr>
            <w:tcW w:w="5429" w:type="dxa"/>
          </w:tcPr>
          <w:p w:rsidR="00536701" w:rsidRDefault="00B76519">
            <w:pPr>
              <w:pStyle w:val="TableParagraph"/>
              <w:spacing w:before="69"/>
              <w:ind w:left="128"/>
            </w:pPr>
            <w:r>
              <w:t xml:space="preserve">Fertilizante </w:t>
            </w:r>
            <w:r w:rsidR="00880504">
              <w:t>líquido</w:t>
            </w:r>
            <w:r>
              <w:t xml:space="preserve"> para aplicación al suelo mediante</w:t>
            </w:r>
          </w:p>
        </w:tc>
      </w:tr>
      <w:tr w:rsidR="00536701">
        <w:trPr>
          <w:trHeight w:val="420"/>
        </w:trPr>
        <w:tc>
          <w:tcPr>
            <w:tcW w:w="3190" w:type="dxa"/>
          </w:tcPr>
          <w:p w:rsidR="00536701" w:rsidRDefault="00B76519">
            <w:pPr>
              <w:pStyle w:val="TableParagraph"/>
              <w:spacing w:before="79"/>
              <w:ind w:left="200"/>
              <w:rPr>
                <w:b/>
              </w:rPr>
            </w:pPr>
            <w:r>
              <w:rPr>
                <w:b/>
              </w:rPr>
              <w:t>1.4 Tipo de Formulación:</w:t>
            </w:r>
          </w:p>
        </w:tc>
        <w:tc>
          <w:tcPr>
            <w:tcW w:w="5429" w:type="dxa"/>
          </w:tcPr>
          <w:p w:rsidR="00536701" w:rsidRDefault="00B76519">
            <w:pPr>
              <w:pStyle w:val="TableParagraph"/>
              <w:spacing w:before="81"/>
              <w:ind w:left="128"/>
            </w:pPr>
            <w:r>
              <w:t>Concentrado Soluble (SL)</w:t>
            </w:r>
          </w:p>
        </w:tc>
      </w:tr>
      <w:tr w:rsidR="00536701">
        <w:trPr>
          <w:trHeight w:val="406"/>
        </w:trPr>
        <w:tc>
          <w:tcPr>
            <w:tcW w:w="3190" w:type="dxa"/>
          </w:tcPr>
          <w:p w:rsidR="00536701" w:rsidRDefault="00B76519">
            <w:pPr>
              <w:pStyle w:val="TableParagraph"/>
              <w:spacing w:before="79"/>
              <w:ind w:left="200"/>
              <w:rPr>
                <w:b/>
              </w:rPr>
            </w:pPr>
            <w:r>
              <w:rPr>
                <w:b/>
              </w:rPr>
              <w:t>1.5 Categoría Toxicológica:</w:t>
            </w:r>
          </w:p>
        </w:tc>
        <w:tc>
          <w:tcPr>
            <w:tcW w:w="5429" w:type="dxa"/>
          </w:tcPr>
          <w:p w:rsidR="00536701" w:rsidRDefault="00B76519">
            <w:pPr>
              <w:pStyle w:val="TableParagraph"/>
              <w:spacing w:before="81"/>
              <w:ind w:left="128"/>
            </w:pPr>
            <w:r>
              <w:t>No Aplica</w:t>
            </w:r>
          </w:p>
        </w:tc>
      </w:tr>
      <w:tr w:rsidR="00536701">
        <w:trPr>
          <w:trHeight w:val="321"/>
        </w:trPr>
        <w:tc>
          <w:tcPr>
            <w:tcW w:w="3190" w:type="dxa"/>
          </w:tcPr>
          <w:p w:rsidR="00536701" w:rsidRDefault="00B76519">
            <w:pPr>
              <w:pStyle w:val="TableParagraph"/>
              <w:spacing w:before="65" w:line="236" w:lineRule="exact"/>
              <w:ind w:left="200"/>
              <w:rPr>
                <w:b/>
              </w:rPr>
            </w:pPr>
            <w:r>
              <w:rPr>
                <w:b/>
              </w:rPr>
              <w:t>1.6 Presentación:</w:t>
            </w:r>
          </w:p>
        </w:tc>
        <w:tc>
          <w:tcPr>
            <w:tcW w:w="5429" w:type="dxa"/>
          </w:tcPr>
          <w:p w:rsidR="00536701" w:rsidRDefault="00B76519">
            <w:pPr>
              <w:pStyle w:val="TableParagraph"/>
              <w:spacing w:before="68" w:line="233" w:lineRule="exact"/>
              <w:ind w:left="128"/>
            </w:pPr>
            <w:r>
              <w:t>1, 4, 20, 200 y 1000</w:t>
            </w:r>
            <w:r>
              <w:rPr>
                <w:spacing w:val="61"/>
              </w:rPr>
              <w:t xml:space="preserve"> </w:t>
            </w:r>
            <w:r>
              <w:t>litros</w:t>
            </w:r>
          </w:p>
        </w:tc>
      </w:tr>
    </w:tbl>
    <w:p w:rsidR="00536701" w:rsidRDefault="00536701">
      <w:pPr>
        <w:pStyle w:val="Textoindependiente"/>
        <w:rPr>
          <w:b/>
          <w:sz w:val="24"/>
        </w:rPr>
      </w:pPr>
    </w:p>
    <w:p w:rsidR="00536701" w:rsidRDefault="00536701">
      <w:pPr>
        <w:pStyle w:val="Textoindependiente"/>
        <w:rPr>
          <w:b/>
        </w:rPr>
      </w:pPr>
    </w:p>
    <w:p w:rsidR="00536701" w:rsidRDefault="00B76519">
      <w:pPr>
        <w:pStyle w:val="Prrafodelista"/>
        <w:numPr>
          <w:ilvl w:val="0"/>
          <w:numId w:val="1"/>
        </w:numPr>
        <w:tabs>
          <w:tab w:val="left" w:pos="581"/>
        </w:tabs>
        <w:ind w:hanging="309"/>
        <w:rPr>
          <w:b/>
          <w:u w:val="none"/>
        </w:rPr>
      </w:pPr>
      <w:r>
        <w:rPr>
          <w:b/>
          <w:u w:val="thick"/>
        </w:rPr>
        <w:t>COMPOSICIÓN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GARANTIZADA</w:t>
      </w:r>
      <w:r>
        <w:rPr>
          <w:b/>
          <w:u w:val="none"/>
        </w:rPr>
        <w:t>:</w:t>
      </w:r>
    </w:p>
    <w:p w:rsidR="00536701" w:rsidRDefault="00536701">
      <w:pPr>
        <w:pStyle w:val="Textoindependiente"/>
        <w:spacing w:before="5"/>
        <w:rPr>
          <w:b/>
        </w:rPr>
      </w:pPr>
    </w:p>
    <w:tbl>
      <w:tblPr>
        <w:tblStyle w:val="TableNormal"/>
        <w:tblW w:w="0" w:type="auto"/>
        <w:tblInd w:w="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1"/>
        <w:gridCol w:w="3802"/>
      </w:tblGrid>
      <w:tr w:rsidR="00536701">
        <w:trPr>
          <w:trHeight w:val="468"/>
        </w:trPr>
        <w:tc>
          <w:tcPr>
            <w:tcW w:w="3711" w:type="dxa"/>
            <w:tcBorders>
              <w:bottom w:val="single" w:sz="2" w:space="0" w:color="000000"/>
              <w:right w:val="single" w:sz="6" w:space="0" w:color="000000"/>
            </w:tcBorders>
            <w:shd w:val="clear" w:color="auto" w:fill="CCCCCC"/>
          </w:tcPr>
          <w:p w:rsidR="00536701" w:rsidRDefault="00B76519">
            <w:pPr>
              <w:pStyle w:val="TableParagraph"/>
              <w:spacing w:before="103"/>
              <w:ind w:left="735" w:right="728"/>
              <w:jc w:val="center"/>
              <w:rPr>
                <w:b/>
              </w:rPr>
            </w:pPr>
            <w:r>
              <w:rPr>
                <w:b/>
              </w:rPr>
              <w:t>NUTRIENTE</w:t>
            </w:r>
          </w:p>
        </w:tc>
        <w:tc>
          <w:tcPr>
            <w:tcW w:w="3802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CCCCCC"/>
          </w:tcPr>
          <w:p w:rsidR="00536701" w:rsidRDefault="00B76519">
            <w:pPr>
              <w:pStyle w:val="TableParagraph"/>
              <w:spacing w:before="103"/>
              <w:ind w:left="653" w:right="645"/>
              <w:jc w:val="center"/>
              <w:rPr>
                <w:b/>
                <w:sz w:val="20"/>
              </w:rPr>
            </w:pPr>
            <w:r>
              <w:rPr>
                <w:b/>
              </w:rPr>
              <w:t xml:space="preserve">CONCENTRACIÓN </w:t>
            </w:r>
            <w:r>
              <w:rPr>
                <w:b/>
                <w:sz w:val="20"/>
              </w:rPr>
              <w:t>(g/L)</w:t>
            </w:r>
          </w:p>
        </w:tc>
      </w:tr>
      <w:tr w:rsidR="00536701">
        <w:trPr>
          <w:trHeight w:val="419"/>
        </w:trPr>
        <w:tc>
          <w:tcPr>
            <w:tcW w:w="3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6701" w:rsidRDefault="00B76519">
            <w:pPr>
              <w:pStyle w:val="TableParagraph"/>
              <w:spacing w:line="251" w:lineRule="exact"/>
              <w:ind w:left="827" w:right="818"/>
              <w:jc w:val="center"/>
            </w:pPr>
            <w:r>
              <w:t>Nitrógeno Total (N)</w:t>
            </w:r>
          </w:p>
        </w:tc>
        <w:tc>
          <w:tcPr>
            <w:tcW w:w="3802" w:type="dxa"/>
            <w:tcBorders>
              <w:top w:val="single" w:sz="2" w:space="0" w:color="000000"/>
              <w:bottom w:val="single" w:sz="2" w:space="0" w:color="000000"/>
            </w:tcBorders>
          </w:tcPr>
          <w:p w:rsidR="00536701" w:rsidRDefault="00B76519">
            <w:pPr>
              <w:pStyle w:val="TableParagraph"/>
              <w:spacing w:line="251" w:lineRule="exact"/>
              <w:ind w:left="1607" w:right="1593"/>
              <w:jc w:val="center"/>
            </w:pPr>
            <w:r>
              <w:t>200.0</w:t>
            </w:r>
          </w:p>
        </w:tc>
      </w:tr>
      <w:tr w:rsidR="00536701">
        <w:trPr>
          <w:trHeight w:val="419"/>
        </w:trPr>
        <w:tc>
          <w:tcPr>
            <w:tcW w:w="3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6701" w:rsidRDefault="00B76519">
            <w:pPr>
              <w:pStyle w:val="TableParagraph"/>
              <w:spacing w:line="251" w:lineRule="exact"/>
              <w:ind w:left="827" w:right="818"/>
              <w:jc w:val="center"/>
            </w:pPr>
            <w:r>
              <w:t>Nitrógeno Ureico (N)</w:t>
            </w:r>
          </w:p>
        </w:tc>
        <w:tc>
          <w:tcPr>
            <w:tcW w:w="3802" w:type="dxa"/>
            <w:tcBorders>
              <w:top w:val="single" w:sz="2" w:space="0" w:color="000000"/>
              <w:bottom w:val="single" w:sz="2" w:space="0" w:color="000000"/>
            </w:tcBorders>
          </w:tcPr>
          <w:p w:rsidR="00536701" w:rsidRDefault="00B76519">
            <w:pPr>
              <w:pStyle w:val="TableParagraph"/>
              <w:spacing w:line="251" w:lineRule="exact"/>
              <w:ind w:left="1607" w:right="1593"/>
              <w:jc w:val="center"/>
            </w:pPr>
            <w:r>
              <w:t>200.0</w:t>
            </w:r>
          </w:p>
        </w:tc>
      </w:tr>
      <w:tr w:rsidR="00536701">
        <w:trPr>
          <w:trHeight w:val="419"/>
        </w:trPr>
        <w:tc>
          <w:tcPr>
            <w:tcW w:w="3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6701" w:rsidRDefault="00B76519">
            <w:pPr>
              <w:pStyle w:val="TableParagraph"/>
              <w:spacing w:line="251" w:lineRule="exact"/>
              <w:ind w:left="827" w:right="818"/>
              <w:jc w:val="center"/>
            </w:pPr>
            <w:r>
              <w:t>Magnesio (MgO)</w:t>
            </w:r>
          </w:p>
        </w:tc>
        <w:tc>
          <w:tcPr>
            <w:tcW w:w="3802" w:type="dxa"/>
            <w:tcBorders>
              <w:top w:val="single" w:sz="2" w:space="0" w:color="000000"/>
              <w:bottom w:val="single" w:sz="2" w:space="0" w:color="000000"/>
            </w:tcBorders>
          </w:tcPr>
          <w:p w:rsidR="00536701" w:rsidRDefault="00B76519">
            <w:pPr>
              <w:pStyle w:val="TableParagraph"/>
              <w:spacing w:line="251" w:lineRule="exact"/>
              <w:ind w:left="1607" w:right="1590"/>
              <w:jc w:val="center"/>
            </w:pPr>
            <w:r>
              <w:t>2.50</w:t>
            </w:r>
          </w:p>
        </w:tc>
      </w:tr>
      <w:tr w:rsidR="00536701">
        <w:trPr>
          <w:trHeight w:val="419"/>
        </w:trPr>
        <w:tc>
          <w:tcPr>
            <w:tcW w:w="3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6701" w:rsidRDefault="00B76519">
            <w:pPr>
              <w:pStyle w:val="TableParagraph"/>
              <w:spacing w:line="251" w:lineRule="exact"/>
              <w:ind w:left="827" w:right="815"/>
              <w:jc w:val="center"/>
            </w:pPr>
            <w:r>
              <w:t>Azufre Total (S)</w:t>
            </w:r>
          </w:p>
        </w:tc>
        <w:tc>
          <w:tcPr>
            <w:tcW w:w="3802" w:type="dxa"/>
            <w:tcBorders>
              <w:top w:val="single" w:sz="2" w:space="0" w:color="000000"/>
              <w:bottom w:val="single" w:sz="2" w:space="0" w:color="000000"/>
            </w:tcBorders>
          </w:tcPr>
          <w:p w:rsidR="00536701" w:rsidRDefault="00B76519">
            <w:pPr>
              <w:pStyle w:val="TableParagraph"/>
              <w:spacing w:line="251" w:lineRule="exact"/>
              <w:ind w:left="1607" w:right="1590"/>
              <w:jc w:val="center"/>
            </w:pPr>
            <w:r>
              <w:t>5.00</w:t>
            </w:r>
          </w:p>
        </w:tc>
      </w:tr>
      <w:tr w:rsidR="00536701">
        <w:trPr>
          <w:trHeight w:val="419"/>
        </w:trPr>
        <w:tc>
          <w:tcPr>
            <w:tcW w:w="3711" w:type="dxa"/>
            <w:tcBorders>
              <w:top w:val="single" w:sz="2" w:space="0" w:color="000000"/>
              <w:right w:val="single" w:sz="6" w:space="0" w:color="000000"/>
            </w:tcBorders>
          </w:tcPr>
          <w:p w:rsidR="00536701" w:rsidRDefault="00B76519">
            <w:pPr>
              <w:pStyle w:val="TableParagraph"/>
              <w:spacing w:line="251" w:lineRule="exact"/>
              <w:ind w:left="739" w:right="728"/>
              <w:jc w:val="center"/>
            </w:pPr>
            <w:r>
              <w:t>Boro (B)</w:t>
            </w:r>
          </w:p>
        </w:tc>
        <w:tc>
          <w:tcPr>
            <w:tcW w:w="3802" w:type="dxa"/>
            <w:tcBorders>
              <w:top w:val="single" w:sz="2" w:space="0" w:color="000000"/>
              <w:left w:val="single" w:sz="6" w:space="0" w:color="000000"/>
            </w:tcBorders>
          </w:tcPr>
          <w:p w:rsidR="00536701" w:rsidRDefault="00B76519">
            <w:pPr>
              <w:pStyle w:val="TableParagraph"/>
              <w:spacing w:line="251" w:lineRule="exact"/>
              <w:ind w:left="653" w:right="639"/>
              <w:jc w:val="center"/>
            </w:pPr>
            <w:r>
              <w:t>0.30</w:t>
            </w:r>
          </w:p>
        </w:tc>
      </w:tr>
      <w:tr w:rsidR="00536701">
        <w:trPr>
          <w:trHeight w:val="419"/>
        </w:trPr>
        <w:tc>
          <w:tcPr>
            <w:tcW w:w="3711" w:type="dxa"/>
            <w:tcBorders>
              <w:right w:val="single" w:sz="6" w:space="0" w:color="000000"/>
            </w:tcBorders>
          </w:tcPr>
          <w:p w:rsidR="00536701" w:rsidRDefault="00B76519">
            <w:pPr>
              <w:pStyle w:val="TableParagraph"/>
              <w:spacing w:line="250" w:lineRule="exact"/>
              <w:ind w:left="739" w:right="728"/>
              <w:jc w:val="center"/>
            </w:pPr>
            <w:r>
              <w:t>Cobre (Cu)</w:t>
            </w:r>
          </w:p>
        </w:tc>
        <w:tc>
          <w:tcPr>
            <w:tcW w:w="3802" w:type="dxa"/>
            <w:tcBorders>
              <w:left w:val="single" w:sz="6" w:space="0" w:color="000000"/>
            </w:tcBorders>
          </w:tcPr>
          <w:p w:rsidR="00536701" w:rsidRDefault="00B76519">
            <w:pPr>
              <w:pStyle w:val="TableParagraph"/>
              <w:spacing w:line="250" w:lineRule="exact"/>
              <w:ind w:left="653" w:right="639"/>
              <w:jc w:val="center"/>
            </w:pPr>
            <w:r>
              <w:t>0.25</w:t>
            </w:r>
          </w:p>
        </w:tc>
      </w:tr>
      <w:tr w:rsidR="00536701">
        <w:trPr>
          <w:trHeight w:val="420"/>
        </w:trPr>
        <w:tc>
          <w:tcPr>
            <w:tcW w:w="3711" w:type="dxa"/>
            <w:tcBorders>
              <w:right w:val="single" w:sz="6" w:space="0" w:color="000000"/>
            </w:tcBorders>
          </w:tcPr>
          <w:p w:rsidR="00536701" w:rsidRDefault="00B76519">
            <w:pPr>
              <w:pStyle w:val="TableParagraph"/>
              <w:spacing w:line="250" w:lineRule="exact"/>
              <w:ind w:left="739" w:right="728"/>
              <w:jc w:val="center"/>
            </w:pPr>
            <w:r>
              <w:t>Hierro (Fe)</w:t>
            </w:r>
          </w:p>
        </w:tc>
        <w:tc>
          <w:tcPr>
            <w:tcW w:w="3802" w:type="dxa"/>
            <w:tcBorders>
              <w:left w:val="single" w:sz="6" w:space="0" w:color="000000"/>
            </w:tcBorders>
          </w:tcPr>
          <w:p w:rsidR="00536701" w:rsidRDefault="00B76519">
            <w:pPr>
              <w:pStyle w:val="TableParagraph"/>
              <w:spacing w:line="250" w:lineRule="exact"/>
              <w:ind w:left="653" w:right="639"/>
              <w:jc w:val="center"/>
            </w:pPr>
            <w:r>
              <w:t>1.00</w:t>
            </w:r>
          </w:p>
        </w:tc>
      </w:tr>
      <w:tr w:rsidR="00536701">
        <w:trPr>
          <w:trHeight w:val="422"/>
        </w:trPr>
        <w:tc>
          <w:tcPr>
            <w:tcW w:w="3711" w:type="dxa"/>
            <w:tcBorders>
              <w:right w:val="single" w:sz="6" w:space="0" w:color="000000"/>
            </w:tcBorders>
          </w:tcPr>
          <w:p w:rsidR="00536701" w:rsidRDefault="00B76519">
            <w:pPr>
              <w:pStyle w:val="TableParagraph"/>
              <w:ind w:left="736" w:right="728"/>
              <w:jc w:val="center"/>
            </w:pPr>
            <w:r>
              <w:t>Manganeso (Mn)</w:t>
            </w:r>
          </w:p>
        </w:tc>
        <w:tc>
          <w:tcPr>
            <w:tcW w:w="3802" w:type="dxa"/>
            <w:tcBorders>
              <w:left w:val="single" w:sz="6" w:space="0" w:color="000000"/>
            </w:tcBorders>
          </w:tcPr>
          <w:p w:rsidR="00536701" w:rsidRDefault="00B76519">
            <w:pPr>
              <w:pStyle w:val="TableParagraph"/>
              <w:ind w:left="653" w:right="639"/>
              <w:jc w:val="center"/>
            </w:pPr>
            <w:r>
              <w:t>0.55</w:t>
            </w:r>
          </w:p>
        </w:tc>
      </w:tr>
      <w:tr w:rsidR="00536701">
        <w:trPr>
          <w:trHeight w:val="419"/>
        </w:trPr>
        <w:tc>
          <w:tcPr>
            <w:tcW w:w="3711" w:type="dxa"/>
            <w:tcBorders>
              <w:right w:val="single" w:sz="6" w:space="0" w:color="000000"/>
            </w:tcBorders>
          </w:tcPr>
          <w:p w:rsidR="00536701" w:rsidRDefault="00B76519">
            <w:pPr>
              <w:pStyle w:val="TableParagraph"/>
              <w:spacing w:line="250" w:lineRule="exact"/>
              <w:ind w:left="733" w:right="728"/>
              <w:jc w:val="center"/>
            </w:pPr>
            <w:r>
              <w:t>Molibdeno (Mo)</w:t>
            </w:r>
          </w:p>
        </w:tc>
        <w:tc>
          <w:tcPr>
            <w:tcW w:w="3802" w:type="dxa"/>
            <w:tcBorders>
              <w:left w:val="single" w:sz="6" w:space="0" w:color="000000"/>
            </w:tcBorders>
          </w:tcPr>
          <w:p w:rsidR="00536701" w:rsidRDefault="00B76519">
            <w:pPr>
              <w:pStyle w:val="TableParagraph"/>
              <w:spacing w:line="250" w:lineRule="exact"/>
              <w:ind w:left="653" w:right="639"/>
              <w:jc w:val="center"/>
            </w:pPr>
            <w:r>
              <w:t>0.03</w:t>
            </w:r>
          </w:p>
        </w:tc>
      </w:tr>
      <w:tr w:rsidR="00536701">
        <w:trPr>
          <w:trHeight w:val="419"/>
        </w:trPr>
        <w:tc>
          <w:tcPr>
            <w:tcW w:w="3711" w:type="dxa"/>
            <w:tcBorders>
              <w:left w:val="single" w:sz="2" w:space="0" w:color="000000"/>
              <w:bottom w:val="single" w:sz="2" w:space="0" w:color="000000"/>
            </w:tcBorders>
          </w:tcPr>
          <w:p w:rsidR="00536701" w:rsidRDefault="00B76519">
            <w:pPr>
              <w:pStyle w:val="TableParagraph"/>
              <w:spacing w:line="250" w:lineRule="exact"/>
              <w:ind w:left="827" w:right="816"/>
              <w:jc w:val="center"/>
            </w:pPr>
            <w:r>
              <w:t>Zinc (Zn)</w:t>
            </w:r>
          </w:p>
        </w:tc>
        <w:tc>
          <w:tcPr>
            <w:tcW w:w="3802" w:type="dxa"/>
            <w:tcBorders>
              <w:bottom w:val="single" w:sz="2" w:space="0" w:color="000000"/>
            </w:tcBorders>
          </w:tcPr>
          <w:p w:rsidR="00536701" w:rsidRDefault="00B76519">
            <w:pPr>
              <w:pStyle w:val="TableParagraph"/>
              <w:spacing w:line="250" w:lineRule="exact"/>
              <w:ind w:left="1607" w:right="1590"/>
              <w:jc w:val="center"/>
            </w:pPr>
            <w:r>
              <w:t>1.60</w:t>
            </w:r>
          </w:p>
        </w:tc>
      </w:tr>
      <w:tr w:rsidR="00536701">
        <w:trPr>
          <w:trHeight w:val="419"/>
        </w:trPr>
        <w:tc>
          <w:tcPr>
            <w:tcW w:w="3711" w:type="dxa"/>
            <w:tcBorders>
              <w:top w:val="single" w:sz="2" w:space="0" w:color="000000"/>
              <w:right w:val="single" w:sz="6" w:space="0" w:color="000000"/>
            </w:tcBorders>
          </w:tcPr>
          <w:p w:rsidR="00536701" w:rsidRDefault="00B76519">
            <w:pPr>
              <w:pStyle w:val="TableParagraph"/>
              <w:spacing w:line="251" w:lineRule="exact"/>
              <w:ind w:left="741" w:right="728"/>
              <w:jc w:val="center"/>
            </w:pPr>
            <w:r>
              <w:t>pH en solución al 10%</w:t>
            </w:r>
          </w:p>
        </w:tc>
        <w:tc>
          <w:tcPr>
            <w:tcW w:w="3802" w:type="dxa"/>
            <w:tcBorders>
              <w:top w:val="single" w:sz="2" w:space="0" w:color="000000"/>
              <w:left w:val="single" w:sz="6" w:space="0" w:color="000000"/>
            </w:tcBorders>
          </w:tcPr>
          <w:p w:rsidR="00536701" w:rsidRDefault="00B76519">
            <w:pPr>
              <w:pStyle w:val="TableParagraph"/>
              <w:spacing w:line="251" w:lineRule="exact"/>
              <w:ind w:left="653" w:right="639"/>
              <w:jc w:val="center"/>
            </w:pPr>
            <w:r>
              <w:t>5,92</w:t>
            </w:r>
          </w:p>
        </w:tc>
      </w:tr>
    </w:tbl>
    <w:p w:rsidR="00536701" w:rsidRDefault="00B76519">
      <w:pPr>
        <w:ind w:left="272"/>
        <w:rPr>
          <w:sz w:val="20"/>
        </w:rPr>
      </w:pPr>
      <w:r>
        <w:rPr>
          <w:sz w:val="20"/>
        </w:rPr>
        <w:t>*Contiene Ácido naftalenacético.</w:t>
      </w:r>
    </w:p>
    <w:p w:rsidR="00536701" w:rsidRDefault="00536701">
      <w:pPr>
        <w:rPr>
          <w:sz w:val="20"/>
        </w:rPr>
      </w:pPr>
    </w:p>
    <w:p w:rsidR="00536701" w:rsidRDefault="00B76519">
      <w:pPr>
        <w:pStyle w:val="Ttulo1"/>
        <w:numPr>
          <w:ilvl w:val="0"/>
          <w:numId w:val="1"/>
        </w:numPr>
        <w:tabs>
          <w:tab w:val="left" w:pos="581"/>
        </w:tabs>
        <w:spacing w:before="94"/>
        <w:ind w:hanging="309"/>
      </w:pPr>
      <w:r>
        <w:rPr>
          <w:u w:val="thick"/>
        </w:rPr>
        <w:t>PROPIEDADES DEL PRODUCTO</w:t>
      </w:r>
      <w:r>
        <w:rPr>
          <w:spacing w:val="3"/>
          <w:u w:val="thick"/>
        </w:rPr>
        <w:t xml:space="preserve"> </w:t>
      </w:r>
      <w:r>
        <w:rPr>
          <w:u w:val="thick"/>
        </w:rPr>
        <w:t>FORMULADO</w:t>
      </w:r>
      <w:r>
        <w:t>:</w:t>
      </w:r>
    </w:p>
    <w:p w:rsidR="00536701" w:rsidRDefault="00536701">
      <w:pPr>
        <w:pStyle w:val="Textoindependiente"/>
        <w:spacing w:before="11"/>
        <w:rPr>
          <w:b/>
          <w:sz w:val="25"/>
        </w:rPr>
      </w:pPr>
    </w:p>
    <w:tbl>
      <w:tblPr>
        <w:tblStyle w:val="TableNormal"/>
        <w:tblW w:w="0" w:type="auto"/>
        <w:tblInd w:w="1427" w:type="dxa"/>
        <w:tblLayout w:type="fixed"/>
        <w:tblLook w:val="01E0" w:firstRow="1" w:lastRow="1" w:firstColumn="1" w:lastColumn="1" w:noHBand="0" w:noVBand="0"/>
      </w:tblPr>
      <w:tblGrid>
        <w:gridCol w:w="2992"/>
        <w:gridCol w:w="4786"/>
      </w:tblGrid>
      <w:tr w:rsidR="00536701">
        <w:trPr>
          <w:trHeight w:val="286"/>
        </w:trPr>
        <w:tc>
          <w:tcPr>
            <w:tcW w:w="2992" w:type="dxa"/>
          </w:tcPr>
          <w:p w:rsidR="00536701" w:rsidRDefault="00B76519">
            <w:pPr>
              <w:pStyle w:val="TableParagraph"/>
              <w:spacing w:line="247" w:lineRule="exact"/>
              <w:ind w:left="200"/>
            </w:pPr>
            <w:r>
              <w:t>a. Aspecto:</w:t>
            </w:r>
          </w:p>
        </w:tc>
        <w:tc>
          <w:tcPr>
            <w:tcW w:w="4786" w:type="dxa"/>
          </w:tcPr>
          <w:p w:rsidR="00536701" w:rsidRDefault="00B76519">
            <w:pPr>
              <w:pStyle w:val="TableParagraph"/>
              <w:spacing w:line="247" w:lineRule="exact"/>
              <w:ind w:left="187"/>
            </w:pPr>
            <w:r>
              <w:t>Líquido color marrón oscuro</w:t>
            </w:r>
          </w:p>
        </w:tc>
      </w:tr>
      <w:tr w:rsidR="00536701">
        <w:trPr>
          <w:trHeight w:val="326"/>
        </w:trPr>
        <w:tc>
          <w:tcPr>
            <w:tcW w:w="2992" w:type="dxa"/>
          </w:tcPr>
          <w:p w:rsidR="00536701" w:rsidRDefault="00B76519">
            <w:pPr>
              <w:pStyle w:val="TableParagraph"/>
              <w:spacing w:before="33"/>
              <w:ind w:left="200"/>
            </w:pPr>
            <w:r>
              <w:t>b. Estabilidad a la luz:</w:t>
            </w:r>
          </w:p>
        </w:tc>
        <w:tc>
          <w:tcPr>
            <w:tcW w:w="4786" w:type="dxa"/>
          </w:tcPr>
          <w:p w:rsidR="00536701" w:rsidRDefault="00B76519">
            <w:pPr>
              <w:pStyle w:val="TableParagraph"/>
              <w:spacing w:before="33"/>
              <w:ind w:left="187"/>
            </w:pPr>
            <w:r>
              <w:t>Estable</w:t>
            </w:r>
          </w:p>
        </w:tc>
      </w:tr>
      <w:tr w:rsidR="00536701">
        <w:trPr>
          <w:trHeight w:val="326"/>
        </w:trPr>
        <w:tc>
          <w:tcPr>
            <w:tcW w:w="2992" w:type="dxa"/>
          </w:tcPr>
          <w:p w:rsidR="00536701" w:rsidRDefault="00B76519">
            <w:pPr>
              <w:pStyle w:val="TableParagraph"/>
              <w:spacing w:before="33"/>
              <w:ind w:left="200"/>
            </w:pPr>
            <w:r>
              <w:t>c. Densidad:</w:t>
            </w:r>
          </w:p>
        </w:tc>
        <w:tc>
          <w:tcPr>
            <w:tcW w:w="4786" w:type="dxa"/>
          </w:tcPr>
          <w:p w:rsidR="00536701" w:rsidRDefault="00B76519">
            <w:pPr>
              <w:pStyle w:val="TableParagraph"/>
              <w:spacing w:before="33"/>
              <w:ind w:left="187"/>
            </w:pPr>
            <w:r>
              <w:t>1,10 g/mL</w:t>
            </w:r>
          </w:p>
        </w:tc>
      </w:tr>
      <w:tr w:rsidR="00536701">
        <w:trPr>
          <w:trHeight w:val="326"/>
        </w:trPr>
        <w:tc>
          <w:tcPr>
            <w:tcW w:w="2992" w:type="dxa"/>
          </w:tcPr>
          <w:p w:rsidR="00536701" w:rsidRDefault="00B76519">
            <w:pPr>
              <w:pStyle w:val="TableParagraph"/>
              <w:spacing w:before="33"/>
              <w:ind w:left="200"/>
            </w:pPr>
            <w:r>
              <w:t>d. Corrosividad:</w:t>
            </w:r>
          </w:p>
        </w:tc>
        <w:tc>
          <w:tcPr>
            <w:tcW w:w="4786" w:type="dxa"/>
          </w:tcPr>
          <w:p w:rsidR="00536701" w:rsidRDefault="00B76519">
            <w:pPr>
              <w:pStyle w:val="TableParagraph"/>
              <w:spacing w:before="33"/>
              <w:ind w:left="187"/>
            </w:pPr>
            <w:r>
              <w:t>No Aplica</w:t>
            </w:r>
          </w:p>
        </w:tc>
      </w:tr>
      <w:tr w:rsidR="00536701">
        <w:trPr>
          <w:trHeight w:val="303"/>
        </w:trPr>
        <w:tc>
          <w:tcPr>
            <w:tcW w:w="2992" w:type="dxa"/>
          </w:tcPr>
          <w:p w:rsidR="00536701" w:rsidRDefault="00B76519">
            <w:pPr>
              <w:pStyle w:val="TableParagraph"/>
              <w:spacing w:before="33" w:line="250" w:lineRule="exact"/>
              <w:ind w:left="200"/>
            </w:pPr>
            <w:r>
              <w:t>e. pH en solución al 10%:</w:t>
            </w:r>
          </w:p>
        </w:tc>
        <w:tc>
          <w:tcPr>
            <w:tcW w:w="4786" w:type="dxa"/>
          </w:tcPr>
          <w:p w:rsidR="00536701" w:rsidRDefault="00B76519">
            <w:pPr>
              <w:pStyle w:val="TableParagraph"/>
              <w:spacing w:before="33" w:line="250" w:lineRule="exact"/>
              <w:ind w:left="187"/>
            </w:pPr>
            <w:r>
              <w:t>5.92</w:t>
            </w:r>
          </w:p>
        </w:tc>
      </w:tr>
      <w:tr w:rsidR="00536701">
        <w:trPr>
          <w:trHeight w:val="1790"/>
        </w:trPr>
        <w:tc>
          <w:tcPr>
            <w:tcW w:w="2992" w:type="dxa"/>
          </w:tcPr>
          <w:p w:rsidR="00536701" w:rsidRDefault="00536701">
            <w:pPr>
              <w:pStyle w:val="TableParagraph"/>
              <w:ind w:left="0"/>
              <w:rPr>
                <w:b/>
                <w:sz w:val="24"/>
              </w:rPr>
            </w:pPr>
          </w:p>
          <w:p w:rsidR="00536701" w:rsidRDefault="00536701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:rsidR="00536701" w:rsidRDefault="00B76519">
            <w:pPr>
              <w:pStyle w:val="TableParagraph"/>
              <w:ind w:left="413" w:right="168" w:hanging="214"/>
            </w:pPr>
            <w:r>
              <w:t>f. Compatibilidad con otros productos:</w:t>
            </w:r>
          </w:p>
        </w:tc>
        <w:tc>
          <w:tcPr>
            <w:tcW w:w="4786" w:type="dxa"/>
          </w:tcPr>
          <w:p w:rsidR="00536701" w:rsidRDefault="00B76519">
            <w:pPr>
              <w:pStyle w:val="TableParagraph"/>
              <w:spacing w:before="15"/>
              <w:ind w:left="187" w:right="197"/>
              <w:jc w:val="both"/>
            </w:pPr>
            <w:r>
              <w:rPr>
                <w:b/>
              </w:rPr>
              <w:t xml:space="preserve">AGRIMINS </w:t>
            </w:r>
            <w:r>
              <w:rPr>
                <w:b/>
                <w:vertAlign w:val="superscript"/>
              </w:rPr>
              <w:t>®</w:t>
            </w:r>
            <w:r>
              <w:rPr>
                <w:b/>
              </w:rPr>
              <w:t xml:space="preserve"> INICIO 20-0-0 </w:t>
            </w:r>
            <w:r>
              <w:t>es compatible en mezcla con la mayoría de productos para aplicación foliar y plaguicidas existentes en el mercado. Sin embargo, se recomienda realizar pruebas de compatibilidad previas</w:t>
            </w:r>
            <w:r>
              <w:rPr>
                <w:spacing w:val="16"/>
              </w:rPr>
              <w:t xml:space="preserve"> </w:t>
            </w:r>
            <w:r>
              <w:t>a</w:t>
            </w:r>
          </w:p>
          <w:p w:rsidR="00536701" w:rsidRDefault="00B76519">
            <w:pPr>
              <w:pStyle w:val="TableParagraph"/>
              <w:spacing w:before="3" w:line="250" w:lineRule="atLeast"/>
              <w:ind w:left="187" w:right="201"/>
              <w:jc w:val="both"/>
            </w:pPr>
            <w:r>
              <w:t>la preparación de la mezcla por interacción de ingredientes activos o</w:t>
            </w:r>
            <w:r>
              <w:t xml:space="preserve"> calidad de aguas.</w:t>
            </w:r>
          </w:p>
        </w:tc>
      </w:tr>
    </w:tbl>
    <w:p w:rsidR="00536701" w:rsidRDefault="00536701">
      <w:pPr>
        <w:pStyle w:val="Textoindependiente"/>
        <w:rPr>
          <w:b/>
          <w:sz w:val="24"/>
        </w:rPr>
      </w:pPr>
    </w:p>
    <w:p w:rsidR="00536701" w:rsidRDefault="00B76519">
      <w:pPr>
        <w:pStyle w:val="Prrafodelista"/>
        <w:numPr>
          <w:ilvl w:val="0"/>
          <w:numId w:val="1"/>
        </w:numPr>
        <w:tabs>
          <w:tab w:val="left" w:pos="581"/>
        </w:tabs>
        <w:spacing w:before="181"/>
        <w:ind w:hanging="309"/>
        <w:rPr>
          <w:b/>
          <w:u w:val="none"/>
        </w:rPr>
      </w:pPr>
      <w:r>
        <w:rPr>
          <w:b/>
          <w:u w:val="thick"/>
        </w:rPr>
        <w:t>RECOMENDACIONES DE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USO</w:t>
      </w:r>
      <w:r>
        <w:rPr>
          <w:b/>
          <w:u w:val="none"/>
        </w:rPr>
        <w:t>:</w:t>
      </w:r>
    </w:p>
    <w:p w:rsidR="00536701" w:rsidRDefault="00B76519">
      <w:pPr>
        <w:spacing w:before="127"/>
        <w:ind w:left="272" w:right="274"/>
        <w:jc w:val="both"/>
        <w:rPr>
          <w:b/>
        </w:rPr>
      </w:pPr>
      <w:r>
        <w:rPr>
          <w:b/>
        </w:rPr>
        <w:t>Las siguientes recomendaciones de uso están basadas en las experiencias de Colinagro s.a. para mayor información consulte a nuestros ingenieros agrónomos.</w:t>
      </w:r>
    </w:p>
    <w:p w:rsidR="00536701" w:rsidRDefault="00B76519">
      <w:pPr>
        <w:ind w:left="272"/>
        <w:jc w:val="both"/>
        <w:rPr>
          <w:b/>
        </w:rPr>
      </w:pPr>
      <w:r>
        <w:rPr>
          <w:b/>
        </w:rPr>
        <w:t>Dosis a aplicar:</w:t>
      </w:r>
    </w:p>
    <w:p w:rsidR="00536701" w:rsidRDefault="00536701">
      <w:pPr>
        <w:pStyle w:val="Textoindependiente"/>
        <w:spacing w:before="1"/>
        <w:rPr>
          <w:b/>
          <w:sz w:val="30"/>
        </w:rPr>
      </w:pPr>
    </w:p>
    <w:p w:rsidR="00536701" w:rsidRDefault="00B76519">
      <w:pPr>
        <w:pStyle w:val="Textoindependiente"/>
        <w:spacing w:before="1"/>
        <w:ind w:left="272" w:right="276"/>
        <w:jc w:val="both"/>
      </w:pPr>
      <w:r>
        <w:rPr>
          <w:b/>
        </w:rPr>
        <w:t>AGRIMINS</w:t>
      </w:r>
      <w:r>
        <w:rPr>
          <w:rFonts w:ascii="Symbol" w:hAnsi="Symbol"/>
          <w:b/>
          <w:vertAlign w:val="superscript"/>
        </w:rPr>
        <w:t></w:t>
      </w:r>
      <w:r>
        <w:rPr>
          <w:rFonts w:ascii="Times New Roman" w:hAnsi="Times New Roman"/>
          <w:b/>
        </w:rPr>
        <w:t xml:space="preserve"> </w:t>
      </w:r>
      <w:r>
        <w:rPr>
          <w:b/>
        </w:rPr>
        <w:t xml:space="preserve">INICIO </w:t>
      </w:r>
      <w:r>
        <w:t xml:space="preserve">se recomienda su aplicación en cultivos por su alto aporte de </w:t>
      </w:r>
      <w:r w:rsidR="00880504">
        <w:t>Nitrógeno elemento</w:t>
      </w:r>
      <w:r>
        <w:t xml:space="preserve"> esencial para el crecimiento y desarrollo de las</w:t>
      </w:r>
      <w:r>
        <w:rPr>
          <w:spacing w:val="-12"/>
        </w:rPr>
        <w:t xml:space="preserve"> </w:t>
      </w:r>
      <w:r>
        <w:t>plantas.</w:t>
      </w:r>
    </w:p>
    <w:p w:rsidR="00536701" w:rsidRDefault="00536701">
      <w:pPr>
        <w:pStyle w:val="Textoindependiente"/>
      </w:pPr>
    </w:p>
    <w:p w:rsidR="00536701" w:rsidRDefault="00B76519">
      <w:pPr>
        <w:pStyle w:val="Textoindependiente"/>
        <w:ind w:left="272" w:right="275"/>
        <w:jc w:val="both"/>
      </w:pPr>
      <w:r>
        <w:t>Su dosificación puede variar según la especie cultivada y frecuencia de aplicación. Se recomienda dosificar el prod</w:t>
      </w:r>
      <w:r>
        <w:t>ucto teniendo en cuenta las necesidades nutricionales del cultivo apoyado en análisis de suelos o tejido</w:t>
      </w:r>
      <w:r>
        <w:rPr>
          <w:spacing w:val="-4"/>
        </w:rPr>
        <w:t xml:space="preserve"> </w:t>
      </w:r>
      <w:r>
        <w:t>foliar.</w:t>
      </w:r>
    </w:p>
    <w:p w:rsidR="00536701" w:rsidRDefault="00536701">
      <w:pPr>
        <w:pStyle w:val="Textoindependiente"/>
        <w:spacing w:before="10"/>
        <w:rPr>
          <w:sz w:val="21"/>
        </w:rPr>
      </w:pPr>
    </w:p>
    <w:p w:rsidR="00536701" w:rsidRDefault="00B76519">
      <w:pPr>
        <w:pStyle w:val="Ttulo1"/>
        <w:numPr>
          <w:ilvl w:val="0"/>
          <w:numId w:val="1"/>
        </w:numPr>
        <w:tabs>
          <w:tab w:val="left" w:pos="583"/>
        </w:tabs>
        <w:ind w:left="582" w:hanging="311"/>
      </w:pPr>
      <w:r>
        <w:rPr>
          <w:u w:val="thick"/>
        </w:rPr>
        <w:t>APLICACIÓN</w:t>
      </w:r>
      <w:r>
        <w:t>:</w:t>
      </w:r>
    </w:p>
    <w:p w:rsidR="00536701" w:rsidRDefault="00536701">
      <w:pPr>
        <w:pStyle w:val="Textoindependiente"/>
        <w:rPr>
          <w:b/>
        </w:rPr>
      </w:pPr>
    </w:p>
    <w:p w:rsidR="00880504" w:rsidRDefault="00B76519" w:rsidP="00880504">
      <w:pPr>
        <w:pStyle w:val="Textoindependiente"/>
        <w:ind w:left="272" w:right="270"/>
        <w:jc w:val="both"/>
      </w:pPr>
      <w:r>
        <w:rPr>
          <w:b/>
        </w:rPr>
        <w:t>AGRIMINS</w:t>
      </w:r>
      <w:r>
        <w:rPr>
          <w:rFonts w:ascii="Symbol" w:hAnsi="Symbol"/>
          <w:b/>
          <w:vertAlign w:val="superscript"/>
        </w:rPr>
        <w:t></w:t>
      </w:r>
      <w:r>
        <w:rPr>
          <w:rFonts w:ascii="Times New Roman" w:hAnsi="Times New Roman"/>
          <w:b/>
        </w:rPr>
        <w:t xml:space="preserve"> </w:t>
      </w:r>
      <w:r>
        <w:rPr>
          <w:b/>
        </w:rPr>
        <w:t xml:space="preserve">INICIO </w:t>
      </w:r>
      <w:r>
        <w:t>es un fertilizante nitrogenado en estado líquido, complementado con elementos secundarios (Magnesio y Azufre) y micronutrientes (Boro, Cobre, Hierro, Manganeso, Molibdeno y Zinc). Su formulación balanceada garantiza una completa absorción y asimilación por</w:t>
      </w:r>
      <w:r>
        <w:t xml:space="preserve"> la planta, estimulando el desarrollo de estructuras vegetativas y reproductivas, a su vez que fomenta </w:t>
      </w:r>
      <w:r w:rsidR="00880504">
        <w:t>la floración</w:t>
      </w:r>
      <w:r>
        <w:t xml:space="preserve"> y</w:t>
      </w:r>
      <w:r>
        <w:rPr>
          <w:spacing w:val="-5"/>
        </w:rPr>
        <w:t xml:space="preserve"> </w:t>
      </w:r>
      <w:r>
        <w:t>fructificación.</w:t>
      </w:r>
    </w:p>
    <w:p w:rsidR="00880504" w:rsidRDefault="00880504" w:rsidP="00880504">
      <w:pPr>
        <w:pStyle w:val="Textoindependiente"/>
        <w:ind w:left="272" w:right="270"/>
        <w:jc w:val="both"/>
      </w:pPr>
    </w:p>
    <w:p w:rsidR="00880504" w:rsidRDefault="00B76519" w:rsidP="00880504">
      <w:pPr>
        <w:pStyle w:val="Textoindependiente"/>
        <w:ind w:left="272" w:right="270"/>
        <w:jc w:val="both"/>
      </w:pPr>
      <w:r>
        <w:rPr>
          <w:b/>
        </w:rPr>
        <w:t>AGRIMINS</w:t>
      </w:r>
      <w:r>
        <w:rPr>
          <w:rFonts w:ascii="Symbol" w:hAnsi="Symbol"/>
          <w:b/>
          <w:vertAlign w:val="superscript"/>
        </w:rPr>
        <w:t></w:t>
      </w:r>
      <w:r>
        <w:rPr>
          <w:rFonts w:ascii="Times New Roman" w:hAnsi="Times New Roman"/>
          <w:b/>
        </w:rPr>
        <w:t xml:space="preserve"> </w:t>
      </w:r>
      <w:r>
        <w:rPr>
          <w:b/>
        </w:rPr>
        <w:t xml:space="preserve">INICIO </w:t>
      </w:r>
      <w:r>
        <w:t xml:space="preserve">es un complemento nutritivo en estado líquido, formulado para </w:t>
      </w:r>
      <w:r w:rsidR="00880504">
        <w:t>su empleo</w:t>
      </w:r>
      <w:r>
        <w:t xml:space="preserve"> durante</w:t>
      </w:r>
      <w:r>
        <w:rPr>
          <w:spacing w:val="44"/>
        </w:rPr>
        <w:t xml:space="preserve"> </w:t>
      </w:r>
      <w:r>
        <w:t>todo</w:t>
      </w:r>
      <w:r>
        <w:rPr>
          <w:spacing w:val="45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t>ciclo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desarrollo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las</w:t>
      </w:r>
      <w:r>
        <w:rPr>
          <w:spacing w:val="45"/>
        </w:rPr>
        <w:t xml:space="preserve"> </w:t>
      </w:r>
      <w:r>
        <w:t>plantas,</w:t>
      </w:r>
      <w:r>
        <w:rPr>
          <w:spacing w:val="46"/>
        </w:rPr>
        <w:t xml:space="preserve"> </w:t>
      </w:r>
      <w:r>
        <w:t>pero</w:t>
      </w:r>
      <w:r>
        <w:rPr>
          <w:spacing w:val="45"/>
        </w:rPr>
        <w:t xml:space="preserve"> </w:t>
      </w:r>
      <w:r>
        <w:t>especialmente</w:t>
      </w:r>
      <w:r>
        <w:rPr>
          <w:spacing w:val="47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t>los</w:t>
      </w:r>
      <w:r>
        <w:rPr>
          <w:spacing w:val="45"/>
        </w:rPr>
        <w:t xml:space="preserve"> </w:t>
      </w:r>
      <w:r>
        <w:t>estados</w:t>
      </w:r>
      <w:r>
        <w:rPr>
          <w:spacing w:val="46"/>
        </w:rPr>
        <w:t xml:space="preserve"> </w:t>
      </w:r>
      <w:r>
        <w:t>iniciales</w:t>
      </w:r>
      <w:r>
        <w:rPr>
          <w:spacing w:val="47"/>
        </w:rPr>
        <w:t xml:space="preserve"> </w:t>
      </w:r>
      <w:r>
        <w:t>y</w:t>
      </w:r>
      <w:r w:rsidR="00880504">
        <w:t xml:space="preserve"> </w:t>
      </w:r>
      <w:r w:rsidR="00880504">
        <w:t>durante la fase de desarrollo vegetativo y crecimiento activo de la planta. Su concentración de nitrógeno, aunada a los demás elementos nutrientes contenidos en su formulación, favorecen la translocación de los nutrientes de poca movilidad dentro de la planta, contribuyendo finalmente a la formación de tejidos, estructuras vegetativas y reproductivas y llenado del fruto. Es una fórmula balanceada de nutrientes complementada con quelatos orgánicos naturales y ácido naftalenacético, todos de fácil absorción por la planta, cuya función es prevenir y corregir deficiencias específicas o limitaciones en la absorción de nutrientes.</w:t>
      </w:r>
    </w:p>
    <w:p w:rsidR="00880504" w:rsidRDefault="00880504" w:rsidP="00880504">
      <w:pPr>
        <w:pStyle w:val="Textoindependiente"/>
        <w:ind w:left="272" w:right="270"/>
        <w:jc w:val="both"/>
        <w:rPr>
          <w:b/>
        </w:rPr>
      </w:pPr>
    </w:p>
    <w:p w:rsidR="00880504" w:rsidRDefault="00880504" w:rsidP="00880504">
      <w:pPr>
        <w:pStyle w:val="Textoindependiente"/>
        <w:numPr>
          <w:ilvl w:val="0"/>
          <w:numId w:val="1"/>
        </w:numPr>
        <w:ind w:right="270"/>
      </w:pPr>
      <w:r>
        <w:rPr>
          <w:b/>
          <w:u w:val="thick"/>
        </w:rPr>
        <w:t>CONDICIONES GENERALES</w:t>
      </w:r>
      <w:r>
        <w:rPr>
          <w:b/>
        </w:rPr>
        <w:t>:</w:t>
      </w:r>
    </w:p>
    <w:p w:rsidR="00880504" w:rsidRDefault="00880504" w:rsidP="00880504">
      <w:pPr>
        <w:pStyle w:val="Textoindependiente"/>
        <w:ind w:left="272" w:right="270"/>
        <w:jc w:val="both"/>
      </w:pPr>
      <w:r>
        <w:rPr>
          <w:b/>
        </w:rPr>
        <w:t xml:space="preserve">COLINAGRO </w:t>
      </w:r>
      <w:r>
        <w:t>garantiza que las características físico-químicas del producto corresponden a las anotadas en las etiquetas, pero no asume la responsabilidad por el uso que él se haga, porque el manejo está fuera de su control.</w:t>
      </w:r>
    </w:p>
    <w:p w:rsidR="00880504" w:rsidRDefault="00880504" w:rsidP="00880504">
      <w:pPr>
        <w:pStyle w:val="Textoindependiente"/>
        <w:ind w:left="272" w:right="270"/>
        <w:jc w:val="both"/>
      </w:pPr>
    </w:p>
    <w:p w:rsidR="00880504" w:rsidRDefault="00880504" w:rsidP="00880504">
      <w:pPr>
        <w:pStyle w:val="Textoindependiente"/>
        <w:ind w:left="272" w:right="270"/>
        <w:jc w:val="both"/>
      </w:pPr>
      <w:r>
        <w:t>Este producto debe emplearse con la recomendación suscrita de un Ingeniero Agrónomo u otro profesional con tarjeta del Ministerio de Agricultura previo análisis de suelo y/o análisis foliar.</w:t>
      </w:r>
    </w:p>
    <w:p w:rsidR="00536701" w:rsidRDefault="00536701">
      <w:pPr>
        <w:pStyle w:val="Textoindependiente"/>
        <w:spacing w:before="5"/>
        <w:rPr>
          <w:sz w:val="13"/>
        </w:rPr>
      </w:pPr>
    </w:p>
    <w:sectPr w:rsidR="00536701" w:rsidSect="00880504">
      <w:headerReference w:type="default" r:id="rId7"/>
      <w:footerReference w:type="default" r:id="rId8"/>
      <w:pgSz w:w="12250" w:h="15850"/>
      <w:pgMar w:top="800" w:right="860" w:bottom="280" w:left="860" w:header="602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519" w:rsidRDefault="00B76519">
      <w:r>
        <w:separator/>
      </w:r>
    </w:p>
  </w:endnote>
  <w:endnote w:type="continuationSeparator" w:id="0">
    <w:p w:rsidR="00B76519" w:rsidRDefault="00B7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04" w:rsidRDefault="00880504" w:rsidP="00880504">
    <w:pPr>
      <w:pStyle w:val="Piedepgina"/>
      <w:jc w:val="center"/>
    </w:pPr>
    <w:r>
      <w:t>DISTRIBUIDO POR AGROACTIVO</w:t>
    </w:r>
  </w:p>
  <w:p w:rsidR="00880504" w:rsidRDefault="00880504" w:rsidP="00880504">
    <w:pPr>
      <w:pStyle w:val="Piedepgina"/>
      <w:jc w:val="center"/>
    </w:pPr>
    <w:r>
      <w:t>www.agroactivocol.com</w:t>
    </w:r>
  </w:p>
  <w:p w:rsidR="00880504" w:rsidRDefault="008805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519" w:rsidRDefault="00B76519">
      <w:r>
        <w:separator/>
      </w:r>
    </w:p>
  </w:footnote>
  <w:footnote w:type="continuationSeparator" w:id="0">
    <w:p w:rsidR="00B76519" w:rsidRDefault="00B76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701" w:rsidRDefault="00536701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64D66"/>
    <w:multiLevelType w:val="hybridMultilevel"/>
    <w:tmpl w:val="33C21CB4"/>
    <w:lvl w:ilvl="0" w:tplc="75C805BA">
      <w:start w:val="1"/>
      <w:numFmt w:val="decimal"/>
      <w:lvlText w:val="%1."/>
      <w:lvlJc w:val="left"/>
      <w:pPr>
        <w:ind w:left="580" w:hanging="30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1" w:tplc="2FE8592C">
      <w:numFmt w:val="bullet"/>
      <w:lvlText w:val="•"/>
      <w:lvlJc w:val="left"/>
      <w:pPr>
        <w:ind w:left="1574" w:hanging="308"/>
      </w:pPr>
      <w:rPr>
        <w:rFonts w:hint="default"/>
        <w:lang w:val="es-ES" w:eastAsia="en-US" w:bidi="ar-SA"/>
      </w:rPr>
    </w:lvl>
    <w:lvl w:ilvl="2" w:tplc="43E887C2">
      <w:numFmt w:val="bullet"/>
      <w:lvlText w:val="•"/>
      <w:lvlJc w:val="left"/>
      <w:pPr>
        <w:ind w:left="2568" w:hanging="308"/>
      </w:pPr>
      <w:rPr>
        <w:rFonts w:hint="default"/>
        <w:lang w:val="es-ES" w:eastAsia="en-US" w:bidi="ar-SA"/>
      </w:rPr>
    </w:lvl>
    <w:lvl w:ilvl="3" w:tplc="956CBC5C">
      <w:numFmt w:val="bullet"/>
      <w:lvlText w:val="•"/>
      <w:lvlJc w:val="left"/>
      <w:pPr>
        <w:ind w:left="3562" w:hanging="308"/>
      </w:pPr>
      <w:rPr>
        <w:rFonts w:hint="default"/>
        <w:lang w:val="es-ES" w:eastAsia="en-US" w:bidi="ar-SA"/>
      </w:rPr>
    </w:lvl>
    <w:lvl w:ilvl="4" w:tplc="8B803D0E">
      <w:numFmt w:val="bullet"/>
      <w:lvlText w:val="•"/>
      <w:lvlJc w:val="left"/>
      <w:pPr>
        <w:ind w:left="4556" w:hanging="308"/>
      </w:pPr>
      <w:rPr>
        <w:rFonts w:hint="default"/>
        <w:lang w:val="es-ES" w:eastAsia="en-US" w:bidi="ar-SA"/>
      </w:rPr>
    </w:lvl>
    <w:lvl w:ilvl="5" w:tplc="8F30C9B2">
      <w:numFmt w:val="bullet"/>
      <w:lvlText w:val="•"/>
      <w:lvlJc w:val="left"/>
      <w:pPr>
        <w:ind w:left="5551" w:hanging="308"/>
      </w:pPr>
      <w:rPr>
        <w:rFonts w:hint="default"/>
        <w:lang w:val="es-ES" w:eastAsia="en-US" w:bidi="ar-SA"/>
      </w:rPr>
    </w:lvl>
    <w:lvl w:ilvl="6" w:tplc="53B6C784">
      <w:numFmt w:val="bullet"/>
      <w:lvlText w:val="•"/>
      <w:lvlJc w:val="left"/>
      <w:pPr>
        <w:ind w:left="6545" w:hanging="308"/>
      </w:pPr>
      <w:rPr>
        <w:rFonts w:hint="default"/>
        <w:lang w:val="es-ES" w:eastAsia="en-US" w:bidi="ar-SA"/>
      </w:rPr>
    </w:lvl>
    <w:lvl w:ilvl="7" w:tplc="9CFAB8DE">
      <w:numFmt w:val="bullet"/>
      <w:lvlText w:val="•"/>
      <w:lvlJc w:val="left"/>
      <w:pPr>
        <w:ind w:left="7539" w:hanging="308"/>
      </w:pPr>
      <w:rPr>
        <w:rFonts w:hint="default"/>
        <w:lang w:val="es-ES" w:eastAsia="en-US" w:bidi="ar-SA"/>
      </w:rPr>
    </w:lvl>
    <w:lvl w:ilvl="8" w:tplc="9AB0EB76">
      <w:numFmt w:val="bullet"/>
      <w:lvlText w:val="•"/>
      <w:lvlJc w:val="left"/>
      <w:pPr>
        <w:ind w:left="8533" w:hanging="30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36701"/>
    <w:rsid w:val="00536701"/>
    <w:rsid w:val="00880504"/>
    <w:rsid w:val="00B76519"/>
    <w:rsid w:val="00BC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2F8A"/>
  <w15:docId w15:val="{55154569-FDD8-4B0D-AEF6-A3D0A0EC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580" w:hanging="30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580" w:hanging="30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ind w:left="111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80504"/>
    <w:rPr>
      <w:rFonts w:ascii="Arial" w:eastAsia="Arial" w:hAnsi="Arial" w:cs="Arial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805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0504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805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0504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538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InKulpado666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GLORIA SANCHEZ</dc:creator>
  <cp:keywords>normativo requisito condición definición proceso</cp:keywords>
  <cp:lastModifiedBy>PC</cp:lastModifiedBy>
  <cp:revision>3</cp:revision>
  <cp:lastPrinted>2020-07-06T13:48:00Z</cp:lastPrinted>
  <dcterms:created xsi:type="dcterms:W3CDTF">2020-07-06T12:54:00Z</dcterms:created>
  <dcterms:modified xsi:type="dcterms:W3CDTF">2020-07-06T13:49:00Z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2020-07-06T00:00:00Z</vt:filetime>
  </property>
</Properties>
</file>